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bookmarkStart w:id="6" w:name="_Toc15897_WPSOffice_Level2Page"/>
          <w:r>
            <w:rPr>
              <w:sz w:val="18"/>
              <w:szCs w:val="18"/>
            </w:rPr>
            <w:t>4</w:t>
          </w:r>
          <w:bookmarkEnd w:id="6"/>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bookmarkStart w:id="7" w:name="_Toc11578_WPSOffice_Level1Page"/>
          <w:r>
            <w:rPr>
              <w:b/>
              <w:bCs/>
            </w:rPr>
            <w:t>4</w:t>
          </w:r>
          <w:bookmarkEnd w:id="7"/>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bookmarkStart w:id="8" w:name="_Toc28989_WPSOffice_Level2Page"/>
          <w:r>
            <w:rPr>
              <w:sz w:val="18"/>
              <w:szCs w:val="18"/>
            </w:rPr>
            <w:t>4</w:t>
          </w:r>
          <w:bookmarkEnd w:id="8"/>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bookmarkStart w:id="9" w:name="_Toc10690_WPSOffice_Level2Page"/>
          <w:r>
            <w:rPr>
              <w:sz w:val="18"/>
              <w:szCs w:val="18"/>
            </w:rPr>
            <w:t>6</w:t>
          </w:r>
          <w:bookmarkEnd w:id="9"/>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bookmarkStart w:id="10" w:name="_Toc12369_WPSOffice_Level2Page"/>
          <w:r>
            <w:rPr>
              <w:sz w:val="18"/>
              <w:szCs w:val="18"/>
            </w:rPr>
            <w:t>7</w:t>
          </w:r>
          <w:bookmarkEnd w:id="10"/>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bookmarkStart w:id="11" w:name="_Toc23163_WPSOffice_Level2Page"/>
          <w:r>
            <w:rPr>
              <w:sz w:val="18"/>
              <w:szCs w:val="18"/>
            </w:rPr>
            <w:t>7</w:t>
          </w:r>
          <w:bookmarkEnd w:id="11"/>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bookmarkStart w:id="12" w:name="_Toc30698_WPSOffice_Level2Page"/>
          <w:r>
            <w:rPr>
              <w:sz w:val="18"/>
              <w:szCs w:val="18"/>
            </w:rPr>
            <w:t>7</w:t>
          </w:r>
          <w:bookmarkEnd w:id="12"/>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bookmarkStart w:id="13" w:name="_Toc9268_WPSOffice_Level1Page"/>
          <w:r>
            <w:rPr>
              <w:b/>
              <w:bCs/>
            </w:rPr>
            <w:t>8</w:t>
          </w:r>
          <w:bookmarkEnd w:id="13"/>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Function settings</w:t>
          </w:r>
          <w:r>
            <w:rPr>
              <w:sz w:val="18"/>
              <w:szCs w:val="18"/>
            </w:rPr>
            <w:tab/>
          </w:r>
          <w:bookmarkStart w:id="14" w:name="_Toc2953_WPSOffice_Level2Page"/>
          <w:r>
            <w:rPr>
              <w:sz w:val="18"/>
              <w:szCs w:val="18"/>
            </w:rPr>
            <w:t>8</w:t>
          </w:r>
          <w:bookmarkEnd w:id="14"/>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rPr>
            <w:t>2. Segment settings</w:t>
          </w:r>
          <w:r>
            <w:rPr>
              <w:sz w:val="18"/>
              <w:szCs w:val="18"/>
            </w:rPr>
            <w:tab/>
          </w:r>
          <w:bookmarkStart w:id="15" w:name="_Toc3544_WPSOffice_Level2Page"/>
          <w:r>
            <w:rPr>
              <w:sz w:val="18"/>
              <w:szCs w:val="18"/>
            </w:rPr>
            <w:t>8</w:t>
          </w:r>
          <w:bookmarkEnd w:id="15"/>
          <w:r>
            <w:rPr>
              <w:sz w:val="18"/>
              <w:szCs w:val="18"/>
            </w:rPr>
            <w:fldChar w:fldCharType="end"/>
          </w:r>
        </w:p>
        <w:p>
          <w:pPr>
            <w:pStyle w:val="10"/>
            <w:tabs>
              <w:tab w:val="right" w:leader="dot" w:pos="9638"/>
            </w:tabs>
            <w:ind w:left="420"/>
            <w:rPr>
              <w:sz w:val="18"/>
              <w:szCs w:val="18"/>
            </w:rPr>
          </w:pPr>
          <w:r>
            <w:fldChar w:fldCharType="begin"/>
          </w:r>
          <w:r>
            <w:instrText xml:space="preserve"> HYPERLINK \l "_Toc3218_WPSOffice_Level2" </w:instrText>
          </w:r>
          <w:r>
            <w:fldChar w:fldCharType="separate"/>
          </w:r>
          <w:r>
            <w:rPr>
              <w:rFonts w:hint="eastAsia" w:ascii="微软雅黑" w:hAnsi="微软雅黑" w:eastAsia="微软雅黑" w:cs="微软雅黑"/>
              <w:sz w:val="18"/>
              <w:szCs w:val="18"/>
            </w:rPr>
            <w:t>3. Working mode settings</w:t>
          </w:r>
          <w:r>
            <w:rPr>
              <w:sz w:val="18"/>
              <w:szCs w:val="18"/>
            </w:rPr>
            <w:tab/>
          </w:r>
          <w:r>
            <w:rPr>
              <w:rFonts w:hint="eastAsia"/>
              <w:sz w:val="18"/>
              <w:szCs w:val="18"/>
              <w:lang w:val="en-US" w:eastAsia="zh-CN"/>
            </w:rPr>
            <w:t>9</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9</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9</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numPr>
              <w:ilvl w:val="0"/>
              <w:numId w:val="1"/>
            </w:numPr>
            <w:tabs>
              <w:tab w:val="right" w:leader="dot" w:pos="9638"/>
            </w:tabs>
            <w:ind w:left="42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Undervoltage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ascii="微软雅黑" w:hAnsi="微软雅黑" w:eastAsia="微软雅黑" w:cs="微软雅黑"/>
              <w:sz w:val="18"/>
              <w:szCs w:val="18"/>
              <w:lang w:eastAsia="zh-CN"/>
            </w:rPr>
            <w:t>Phase loss protection</w:t>
          </w:r>
          <w:r>
            <w:rPr>
              <w:sz w:val="18"/>
              <w:szCs w:val="18"/>
            </w:rPr>
            <w:tab/>
          </w:r>
          <w:r>
            <w:rPr>
              <w:rFonts w:hint="eastAsia"/>
              <w:sz w:val="18"/>
              <w:szCs w:val="18"/>
              <w:lang w:val="en-US" w:eastAsia="zh-CN"/>
            </w:rPr>
            <w:t>9</w:t>
          </w:r>
        </w:p>
        <w:p>
          <w:pPr>
            <w:pStyle w:val="10"/>
            <w:numPr>
              <w:ilvl w:val="0"/>
              <w:numId w:val="1"/>
            </w:numPr>
            <w:tabs>
              <w:tab w:val="right" w:leader="dot" w:pos="9638"/>
            </w:tabs>
            <w:ind w:left="420"/>
          </w:pPr>
          <w:r>
            <w:rPr>
              <w:rFonts w:hint="eastAsia" w:eastAsia="微软雅黑"/>
              <w:sz w:val="18"/>
              <w:szCs w:val="18"/>
              <w:lang w:eastAsia="zh-CN"/>
            </w:rPr>
            <w:t>Out-of-tolerance alarm signal</w:t>
          </w:r>
          <w:r>
            <w:rPr>
              <w:sz w:val="18"/>
              <w:szCs w:val="18"/>
            </w:rPr>
            <w:tab/>
          </w:r>
          <w:r>
            <w:rPr>
              <w:rFonts w:hint="eastAsia"/>
              <w:sz w:val="18"/>
              <w:szCs w:val="18"/>
              <w:lang w:val="en-US" w:eastAsia="zh-CN"/>
            </w:rPr>
            <w:t>9</w:t>
          </w:r>
        </w:p>
      </w:sdtContent>
    </w:sdt>
    <w:bookmarkEnd w:id="0"/>
    <w:p>
      <w:pPr>
        <w:jc w:val="center"/>
        <w:outlineLvl w:val="0"/>
        <w:rPr>
          <w:rFonts w:ascii="微软雅黑" w:hAnsi="微软雅黑" w:eastAsia="微软雅黑" w:cs="微软雅黑"/>
          <w:b/>
          <w:bCs/>
          <w:sz w:val="32"/>
          <w:szCs w:val="32"/>
        </w:rPr>
      </w:pPr>
      <w:bookmarkStart w:id="16" w:name="_Toc29222_WPSOffice_Level1"/>
      <w:bookmarkStart w:id="17" w:name="_Toc14787_WPSOffice_Level1"/>
    </w:p>
    <w:p>
      <w:pPr>
        <w:jc w:val="center"/>
        <w:outlineLvl w:val="0"/>
        <w:rPr>
          <w:rFonts w:ascii="微软雅黑" w:hAnsi="微软雅黑" w:eastAsia="微软雅黑" w:cs="微软雅黑"/>
          <w:b/>
          <w:bCs/>
          <w:sz w:val="32"/>
          <w:szCs w:val="32"/>
        </w:rPr>
      </w:pPr>
    </w:p>
    <w:bookmarkEnd w:id="16"/>
    <w:bookmarkEnd w:id="17"/>
    <w:p>
      <w:pPr>
        <w:jc w:val="center"/>
        <w:outlineLvl w:val="0"/>
        <w:rPr>
          <w:rFonts w:hint="eastAsia" w:ascii="微软雅黑" w:hAnsi="微软雅黑" w:eastAsia="微软雅黑" w:cs="微软雅黑"/>
          <w:b/>
          <w:bCs/>
          <w:sz w:val="32"/>
          <w:szCs w:val="32"/>
          <w:lang w:val="en-US" w:eastAsia="zh-CN"/>
        </w:rPr>
      </w:pPr>
      <w:bookmarkStart w:id="18" w:name="_Toc25850_WPSOffice_Level1"/>
      <w:bookmarkStart w:id="1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HS86 digital hybrid stepper servo driver</w:t>
      </w:r>
      <w:bookmarkEnd w:id="18"/>
      <w:bookmarkEnd w:id="19"/>
    </w:p>
    <w:p>
      <w:pPr>
        <w:numPr>
          <w:ilvl w:val="0"/>
          <w:numId w:val="2"/>
        </w:numPr>
        <w:ind w:left="105" w:leftChars="50"/>
        <w:jc w:val="left"/>
        <w:outlineLvl w:val="0"/>
        <w:rPr>
          <w:rFonts w:ascii="微软雅黑" w:hAnsi="微软雅黑" w:eastAsia="微软雅黑" w:cs="微软雅黑"/>
          <w:b/>
          <w:bCs/>
          <w:sz w:val="28"/>
          <w:szCs w:val="28"/>
        </w:rPr>
      </w:pPr>
      <w:bookmarkStart w:id="20" w:name="_Toc20530_WPSOffice_Level1"/>
      <w:r>
        <w:rPr>
          <w:rFonts w:hint="eastAsia" w:ascii="微软雅黑" w:hAnsi="微软雅黑" w:eastAsia="微软雅黑" w:cs="微软雅黑"/>
          <w:b/>
          <w:bCs/>
          <w:sz w:val="28"/>
          <w:szCs w:val="28"/>
        </w:rPr>
        <w:t>Product Introduction</w:t>
      </w:r>
      <w:bookmarkEnd w:id="20"/>
    </w:p>
    <w:p>
      <w:pPr>
        <w:numPr>
          <w:ilvl w:val="0"/>
          <w:numId w:val="3"/>
        </w:numPr>
        <w:ind w:left="105" w:leftChars="50"/>
        <w:jc w:val="left"/>
        <w:outlineLvl w:val="1"/>
        <w:rPr>
          <w:rFonts w:ascii="微软雅黑" w:hAnsi="微软雅黑" w:eastAsia="微软雅黑" w:cs="微软雅黑"/>
          <w:b/>
          <w:bCs/>
          <w:sz w:val="24"/>
        </w:rPr>
      </w:pPr>
      <w:bookmarkStart w:id="21" w:name="_Toc7553_WPSOffice_Level2"/>
      <w:r>
        <w:rPr>
          <w:rFonts w:hint="eastAsia" w:ascii="微软雅黑" w:hAnsi="微软雅黑" w:eastAsia="微软雅黑" w:cs="微软雅黑"/>
          <w:b/>
          <w:bCs/>
          <w:sz w:val="24"/>
        </w:rPr>
        <w:t>Overview</w:t>
      </w:r>
      <w:bookmarkEnd w:id="2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HS86 is the latest digital hybrid step servo driver with serial port debugging function launched by Green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HS86 driver adopts a servo-like control principle, which is compatible with the dual advantages of open-loop stepping and servo systems, completely solving the problem of open-loop stepping step loss, greatly improving the performance of the stepping system, and reducing the heating and low-speed vibration of the motor. Compared with the servo system, it greatly reduces the difficulty of debugging, has the advantages of fast start and stop, no vibration when shutting down, etc., and its small size, low cost, high cost performance, can meet the application of most occasions.</w:t>
      </w:r>
    </w:p>
    <w:p>
      <w:pPr>
        <w:numPr>
          <w:ilvl w:val="0"/>
          <w:numId w:val="3"/>
        </w:numPr>
        <w:ind w:left="105" w:leftChars="50"/>
        <w:jc w:val="left"/>
        <w:outlineLvl w:val="1"/>
        <w:rPr>
          <w:rFonts w:ascii="微软雅黑" w:hAnsi="微软雅黑" w:eastAsia="微软雅黑" w:cs="微软雅黑"/>
          <w:b/>
          <w:bCs/>
          <w:sz w:val="24"/>
        </w:rPr>
      </w:pPr>
      <w:bookmarkStart w:id="22" w:name="_Toc20530_WPSOffice_Level2"/>
      <w:r>
        <w:rPr>
          <w:rFonts w:hint="eastAsia" w:ascii="微软雅黑" w:hAnsi="微软雅黑" w:eastAsia="微软雅黑" w:cs="微软雅黑"/>
          <w:b/>
          <w:bCs/>
          <w:sz w:val="24"/>
        </w:rPr>
        <w:t>Features</w:t>
      </w:r>
      <w:bookmarkEnd w:id="22"/>
    </w:p>
    <w:p>
      <w:pPr>
        <w:spacing w:line="360" w:lineRule="auto"/>
        <w:ind w:left="105" w:leftChars="50"/>
        <w:jc w:val="left"/>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●External dial selects the driver working mode</w:t>
      </w:r>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●Small size, easy to install</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●Built-in micro-segmentation                           </w:t>
      </w:r>
    </w:p>
    <w:p>
      <w:pPr>
        <w:spacing w:line="360" w:lineRule="auto"/>
        <w:ind w:left="105" w:leftChars="5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impulse response frequency can reach up to 200KHz (higher can be modified)</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●Subdivision setting range 200-40000</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●Precise current control greatly reduces motor heating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●The current is automatically halved when stationary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●With overvoltage, undervoltage, overcurrent and other protection functions</w:t>
      </w:r>
    </w:p>
    <w:p>
      <w:pPr>
        <w:numPr>
          <w:ilvl w:val="0"/>
          <w:numId w:val="3"/>
        </w:numPr>
        <w:ind w:left="105" w:leftChars="50"/>
        <w:jc w:val="left"/>
        <w:outlineLvl w:val="1"/>
        <w:rPr>
          <w:rFonts w:hint="eastAsia" w:ascii="微软雅黑" w:hAnsi="微软雅黑" w:eastAsia="微软雅黑" w:cs="微软雅黑"/>
          <w:b/>
          <w:bCs/>
          <w:sz w:val="24"/>
        </w:rPr>
      </w:pPr>
      <w:bookmarkStart w:id="23" w:name="_Toc28424_WPSOffice_Level2"/>
      <w:r>
        <w:rPr>
          <w:rFonts w:hint="eastAsia" w:ascii="微软雅黑" w:hAnsi="微软雅黑" w:eastAsia="微软雅黑" w:cs="微软雅黑"/>
          <w:b/>
          <w:bCs/>
          <w:sz w:val="24"/>
        </w:rPr>
        <w:t>Application Areas</w:t>
      </w:r>
      <w:bookmarkEnd w:id="2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24" w:name="_Toc28424_WPSOffice_Level1"/>
      <w:r>
        <w:rPr>
          <w:rFonts w:hint="eastAsia" w:ascii="微软雅黑" w:hAnsi="微软雅黑" w:eastAsia="微软雅黑" w:cs="微软雅黑"/>
          <w:b/>
          <w:bCs/>
          <w:sz w:val="28"/>
          <w:szCs w:val="28"/>
        </w:rPr>
        <w:t>2. Electrical, Mechanical and Environmental Indicators</w:t>
      </w:r>
      <w:bookmarkEnd w:id="24"/>
    </w:p>
    <w:p>
      <w:pPr>
        <w:numPr>
          <w:ilvl w:val="0"/>
          <w:numId w:val="4"/>
        </w:numPr>
        <w:jc w:val="left"/>
        <w:outlineLvl w:val="1"/>
        <w:rPr>
          <w:rFonts w:ascii="微软雅黑" w:hAnsi="微软雅黑" w:eastAsia="微软雅黑" w:cs="微软雅黑"/>
          <w:b/>
          <w:bCs/>
          <w:sz w:val="24"/>
        </w:rPr>
      </w:pPr>
      <w:bookmarkStart w:id="25" w:name="_Toc11578_WPSOffice_Level2"/>
      <w:r>
        <w:rPr>
          <w:rFonts w:hint="eastAsia" w:ascii="微软雅黑" w:hAnsi="微软雅黑" w:eastAsia="微软雅黑" w:cs="微软雅黑"/>
          <w:b/>
          <w:bCs/>
          <w:sz w:val="24"/>
        </w:rPr>
        <w:t>Electrical Specifications</w:t>
      </w:r>
      <w:bookmarkEnd w:id="2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HS86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900"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26" w:name="_Toc9268_WPSOffice_Level2"/>
    </w:p>
    <w:p>
      <w:pPr>
        <w:numPr>
          <w:ilvl w:val="0"/>
          <w:numId w:val="4"/>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2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hint="eastAsia" w:ascii="微软雅黑" w:hAnsi="微软雅黑" w:eastAsia="微软雅黑" w:cs="微软雅黑"/>
                <w:b/>
                <w:bCs/>
                <w:sz w:val="18"/>
                <w:szCs w:val="18"/>
                <w:lang w:eastAsia="zh-CN"/>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4"/>
        </w:numPr>
        <w:jc w:val="left"/>
        <w:outlineLvl w:val="1"/>
        <w:rPr>
          <w:rFonts w:ascii="微软雅黑" w:hAnsi="微软雅黑" w:eastAsia="微软雅黑" w:cs="微软雅黑"/>
          <w:b/>
          <w:bCs/>
          <w:sz w:val="24"/>
        </w:rPr>
      </w:pPr>
      <w:bookmarkStart w:id="27" w:name="_Toc25986_WPSOffice_Level2"/>
      <w:r>
        <w:rPr>
          <w:rFonts w:hint="eastAsia" w:ascii="微软雅黑" w:hAnsi="微软雅黑" w:eastAsia="微软雅黑" w:cs="微软雅黑"/>
          <w:b/>
          <w:bCs/>
          <w:sz w:val="24"/>
        </w:rPr>
        <w:t>Mechanical installation drawing</w:t>
      </w:r>
      <w:bookmarkEnd w:id="27"/>
    </w:p>
    <w:p>
      <w:pPr>
        <w:jc w:val="center"/>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eastAsia="zh-CN"/>
        </w:rPr>
        <w:drawing>
          <wp:inline distT="0" distB="0" distL="114300" distR="114300">
            <wp:extent cx="2740025" cy="5189855"/>
            <wp:effectExtent l="0" t="0" r="3175" b="10795"/>
            <wp:docPr id="2" name="图片 2" descr="HS86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S86 正面安装图"/>
                    <pic:cNvPicPr>
                      <a:picLocks noChangeAspect="1"/>
                    </pic:cNvPicPr>
                  </pic:nvPicPr>
                  <pic:blipFill>
                    <a:blip r:embed="rId6"/>
                    <a:srcRect t="4559"/>
                    <a:stretch>
                      <a:fillRect/>
                    </a:stretch>
                  </pic:blipFill>
                  <pic:spPr>
                    <a:xfrm>
                      <a:off x="0" y="0"/>
                      <a:ext cx="2740025" cy="5189855"/>
                    </a:xfrm>
                    <a:prstGeom prst="rect">
                      <a:avLst/>
                    </a:prstGeom>
                  </pic:spPr>
                </pic:pic>
              </a:graphicData>
            </a:graphic>
          </wp:inline>
        </w:drawing>
      </w:r>
      <w:r>
        <w:rPr>
          <w:rFonts w:hint="eastAsia" w:ascii="微软雅黑" w:hAnsi="微软雅黑" w:eastAsia="微软雅黑" w:cs="微软雅黑"/>
          <w:b w:val="0"/>
          <w:bCs w:val="0"/>
          <w:sz w:val="18"/>
          <w:szCs w:val="18"/>
          <w:lang w:val="en-US" w:eastAsia="zh-CN"/>
        </w:rPr>
        <w:t xml:space="preserve">       </w:t>
      </w:r>
      <w:r>
        <w:rPr>
          <w:rFonts w:hint="default" w:ascii="微软雅黑" w:hAnsi="微软雅黑" w:eastAsia="微软雅黑" w:cs="微软雅黑"/>
          <w:b w:val="0"/>
          <w:bCs w:val="0"/>
          <w:sz w:val="18"/>
          <w:szCs w:val="18"/>
          <w:lang w:val="en-US" w:eastAsia="zh-CN"/>
        </w:rPr>
        <w:drawing>
          <wp:inline distT="0" distB="0" distL="114300" distR="114300">
            <wp:extent cx="1797050" cy="5380990"/>
            <wp:effectExtent l="0" t="0" r="12700" b="10160"/>
            <wp:docPr id="5" name="图片 5" descr="HS86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S86 侧面安装图"/>
                    <pic:cNvPicPr>
                      <a:picLocks noChangeAspect="1"/>
                    </pic:cNvPicPr>
                  </pic:nvPicPr>
                  <pic:blipFill>
                    <a:blip r:embed="rId7"/>
                    <a:stretch>
                      <a:fillRect/>
                    </a:stretch>
                  </pic:blipFill>
                  <pic:spPr>
                    <a:xfrm>
                      <a:off x="0" y="0"/>
                      <a:ext cx="1797050" cy="5380990"/>
                    </a:xfrm>
                    <a:prstGeom prst="rect">
                      <a:avLst/>
                    </a:prstGeom>
                  </pic:spPr>
                </pic:pic>
              </a:graphicData>
            </a:graphic>
          </wp:inline>
        </w:drawing>
      </w:r>
    </w:p>
    <w:p>
      <w:pPr>
        <w:jc w:val="both"/>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hint="eastAsia" w:ascii="微软雅黑" w:hAnsi="微软雅黑" w:eastAsia="微软雅黑" w:cs="微软雅黑"/>
          <w:b w:val="0"/>
          <w:bCs w:val="0"/>
          <w:sz w:val="18"/>
          <w:szCs w:val="18"/>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4"/>
        </w:numPr>
        <w:jc w:val="left"/>
        <w:outlineLvl w:val="1"/>
        <w:rPr>
          <w:rFonts w:ascii="微软雅黑" w:hAnsi="微软雅黑" w:eastAsia="微软雅黑" w:cs="微软雅黑"/>
          <w:b/>
          <w:bCs/>
          <w:sz w:val="24"/>
        </w:rPr>
      </w:pPr>
      <w:bookmarkStart w:id="28" w:name="_Toc15897_WPSOffice_Level2"/>
      <w:r>
        <w:rPr>
          <w:rFonts w:hint="eastAsia" w:ascii="微软雅黑" w:hAnsi="微软雅黑" w:eastAsia="微软雅黑" w:cs="微软雅黑"/>
          <w:b/>
          <w:bCs/>
          <w:sz w:val="24"/>
        </w:rPr>
        <w:t>Enhanced heat dissipation</w:t>
      </w:r>
      <w:bookmarkEnd w:id="28"/>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5"/>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bookmarkStart w:id="29" w:name="_Toc11578_WPSOffice_Level1"/>
      <w:r>
        <w:rPr>
          <w:rFonts w:hint="eastAsia" w:ascii="微软雅黑" w:hAnsi="微软雅黑" w:eastAsia="微软雅黑" w:cs="微软雅黑"/>
          <w:b/>
          <w:bCs/>
          <w:sz w:val="28"/>
          <w:szCs w:val="28"/>
        </w:rPr>
        <w:t>3. Driver interface and wiring introduction</w:t>
      </w:r>
      <w:bookmarkEnd w:id="29"/>
    </w:p>
    <w:p>
      <w:pPr>
        <w:numPr>
          <w:ilvl w:val="0"/>
          <w:numId w:val="6"/>
        </w:numPr>
        <w:spacing w:line="360" w:lineRule="auto"/>
        <w:ind w:left="105" w:leftChars="50"/>
        <w:jc w:val="left"/>
        <w:outlineLvl w:val="1"/>
        <w:rPr>
          <w:rFonts w:ascii="微软雅黑" w:hAnsi="微软雅黑" w:eastAsia="微软雅黑" w:cs="微软雅黑"/>
          <w:b/>
          <w:bCs/>
          <w:sz w:val="24"/>
        </w:rPr>
      </w:pPr>
      <w:bookmarkStart w:id="30" w:name="_Toc28989_WPSOffice_Level2"/>
      <w:r>
        <w:rPr>
          <w:rFonts w:hint="eastAsia" w:ascii="微软雅黑" w:hAnsi="微软雅黑" w:eastAsia="微软雅黑" w:cs="微软雅黑"/>
          <w:b/>
          <w:bCs/>
          <w:sz w:val="24"/>
        </w:rPr>
        <w:t>Interface Description</w:t>
      </w:r>
      <w:bookmarkEnd w:id="30"/>
    </w:p>
    <w:p>
      <w:pPr>
        <w:numPr>
          <w:ilvl w:val="0"/>
          <w:numId w:val="7"/>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31" w:name="OLE_LINK1"/>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ENA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2) Output signal interface</w:t>
      </w:r>
    </w:p>
    <w:tbl>
      <w:tblPr>
        <w:tblStyle w:val="7"/>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7"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name</w:t>
            </w:r>
          </w:p>
        </w:tc>
        <w:tc>
          <w:tcPr>
            <w:tcW w:w="7800" w:type="dxa"/>
            <w:vAlign w:val="center"/>
          </w:tcPr>
          <w:p>
            <w:pPr>
              <w:spacing w:line="360" w:lineRule="auto"/>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In-position signal output: When the motor reaches the position specified by the control instruction, the in-position signal output is valid;</w:t>
            </w:r>
          </w:p>
          <w:p>
            <w:pPr>
              <w:numPr>
                <w:ilvl w:val="0"/>
                <w:numId w:val="0"/>
              </w:numPr>
              <w:spacing w:line="360" w:lineRule="auto"/>
              <w:jc w:val="left"/>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PEND+ is connected to the pull-up resistor to the positive pole of the output power supply, and PEND-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rPr>
            </w:pPr>
            <w:r>
              <w:rPr>
                <w:rFonts w:hint="eastAsia" w:ascii="微软雅黑" w:hAnsi="微软雅黑" w:eastAsia="微软雅黑" w:cs="微软雅黑"/>
                <w:b w:val="0"/>
                <w:bCs w:val="0"/>
                <w:sz w:val="18"/>
                <w:szCs w:val="18"/>
                <w:vertAlign w:val="baseline"/>
                <w:lang w:val="en-US" w:eastAsia="zh-CN"/>
              </w:rPr>
              <w:t>PEND-</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restart"/>
            <w:vAlign w:val="center"/>
          </w:tcPr>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Alarm signal output: When overcurrent, overvoltage, undervoltage or position out-of-tolerance alarm occurs, the alarm signal output is valid;</w:t>
            </w:r>
          </w:p>
          <w:p>
            <w:pPr>
              <w:numPr>
                <w:ilvl w:val="0"/>
                <w:numId w:val="0"/>
              </w:numPr>
              <w:spacing w:line="360" w:lineRule="auto"/>
              <w:jc w:val="left"/>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val="en-US" w:eastAsia="zh-CN"/>
              </w:rPr>
              <w:t>ALM+ is connected to the pull-up resistor to the positive pole of the output power supply, and ALM- is connected to the signal input terminal of the controller; the maximum driving current is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87" w:type="dxa"/>
            <w:vAlign w:val="center"/>
          </w:tcPr>
          <w:p>
            <w:pPr>
              <w:numPr>
                <w:ilvl w:val="0"/>
                <w:numId w:val="0"/>
              </w:numPr>
              <w:spacing w:line="360" w:lineRule="auto"/>
              <w:jc w:val="center"/>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ALM-</w:t>
            </w:r>
          </w:p>
        </w:tc>
        <w:tc>
          <w:tcPr>
            <w:tcW w:w="7800" w:type="dxa"/>
            <w:vMerge w:val="continue"/>
            <w:vAlign w:val="center"/>
          </w:tcPr>
          <w:p>
            <w:pPr>
              <w:numPr>
                <w:ilvl w:val="0"/>
                <w:numId w:val="0"/>
              </w:numPr>
              <w:spacing w:line="360" w:lineRule="auto"/>
              <w:jc w:val="center"/>
              <w:rPr>
                <w:rFonts w:ascii="微软雅黑" w:hAnsi="微软雅黑" w:eastAsia="微软雅黑" w:cs="微软雅黑"/>
                <w:b w:val="0"/>
                <w:bCs w:val="0"/>
                <w:sz w:val="18"/>
                <w:szCs w:val="18"/>
                <w:vertAlign w:val="baseline"/>
              </w:rPr>
            </w:pPr>
          </w:p>
        </w:tc>
      </w:tr>
    </w:tbl>
    <w:p>
      <w:pPr>
        <w:numPr>
          <w:ilvl w:val="0"/>
          <w:numId w:val="0"/>
        </w:numPr>
        <w:spacing w:line="360" w:lineRule="auto"/>
        <w:jc w:val="left"/>
        <w:rPr>
          <w:rFonts w:hint="eastAsia" w:ascii="微软雅黑" w:hAnsi="微软雅黑" w:eastAsia="微软雅黑" w:cs="微软雅黑"/>
          <w:b/>
          <w:bCs/>
          <w:szCs w:val="21"/>
          <w:lang w:val="en-US" w:eastAsia="zh-CN"/>
        </w:rPr>
      </w:pP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3) Encoder interface</w:t>
      </w:r>
    </w:p>
    <w:tbl>
      <w:tblPr>
        <w:tblStyle w:val="7"/>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7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name</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sz w:val="18"/>
                <w:szCs w:val="18"/>
                <w:vertAlign w:val="baseline"/>
                <w:lang w:eastAsia="zh-CN"/>
              </w:rPr>
            </w:pPr>
            <w:r>
              <w:rPr>
                <w:rFonts w:hint="eastAsia" w:ascii="微软雅黑" w:hAnsi="微软雅黑" w:eastAsia="微软雅黑" w:cs="微软雅黑"/>
                <w:b/>
                <w:bCs/>
                <w:sz w:val="18"/>
                <w:szCs w:val="18"/>
                <w:vertAlign w:val="baseline"/>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B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PB-</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restart"/>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r>
              <w:rPr>
                <w:rFonts w:hint="eastAsia" w:ascii="微软雅黑" w:hAnsi="微软雅黑" w:eastAsia="微软雅黑" w:cs="微软雅黑"/>
                <w:b w:val="0"/>
                <w:bCs w:val="0"/>
                <w:sz w:val="18"/>
                <w:szCs w:val="18"/>
                <w:vertAlign w:val="baseline"/>
                <w:lang w:eastAsia="zh-CN"/>
              </w:rPr>
              <w:t>Encoder A phase input interface, please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PA-</w:t>
            </w:r>
          </w:p>
        </w:tc>
        <w:tc>
          <w:tcPr>
            <w:tcW w:w="7794" w:type="dxa"/>
            <w:vMerge w:val="continue"/>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b w:val="0"/>
                <w:bCs w:val="0"/>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VCC</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Encoder 5V power supply positive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1"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center"/>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val="en-US" w:eastAsia="zh-CN"/>
              </w:rPr>
              <w:t>EGND</w:t>
            </w:r>
          </w:p>
        </w:tc>
        <w:tc>
          <w:tcPr>
            <w:tcW w:w="7794" w:type="dxa"/>
            <w:vAlign w:val="center"/>
          </w:tcPr>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jc w:val="both"/>
              <w:textAlignment w:val="auto"/>
              <w:rPr>
                <w:rFonts w:hint="default"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vertAlign w:val="baseline"/>
                <w:lang w:eastAsia="zh-CN"/>
              </w:rPr>
              <w:t>Negative terminal of the encoder 5V power supply.</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Cs w:val="21"/>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encoder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4) 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restart"/>
            <w:vAlign w:val="center"/>
          </w:tcPr>
          <w:p>
            <w:pPr>
              <w:spacing w:line="360" w:lineRule="auto"/>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AC input power, AC20V-80V (DC30V-110V)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A phase coil, pay attention to the line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32"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For the motor B phase coil, pay attention to the line sequence.</w:t>
            </w:r>
          </w:p>
        </w:tc>
      </w:tr>
    </w:tbl>
    <w:p>
      <w:pPr>
        <w:keepNext w:val="0"/>
        <w:keepLines w:val="0"/>
        <w:pageBreakBefore w:val="0"/>
        <w:widowControl w:val="0"/>
        <w:numPr>
          <w:ilvl w:val="0"/>
          <w:numId w:val="0"/>
        </w:numPr>
        <w:tabs>
          <w:tab w:val="left" w:pos="2782"/>
        </w:tabs>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wiring sequence of the motor is marked on the label at the bottom of the closed-loop motor, and the wiring must be strictly in accordance with the label.</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5) 232 communication interface</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serial communication interface of the HS86 driver uses a PH2.0-7P terminal, which can be connected to the PC through a dedicated serial cable via a USB to TTL serial conversion tool. Do not plug or unplug the power supply!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spacing w:line="360" w:lineRule="auto"/>
        <w:ind w:firstLine="420" w:firstLineChars="0"/>
        <w:jc w:val="left"/>
        <w:rPr>
          <w:rFonts w:hint="eastAsia"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HS86 and PC must be a dedicated cable (provided with the computer depending on the user's needs). Please check before use to avoid damage.</w:t>
      </w:r>
    </w:p>
    <w:p>
      <w:pPr>
        <w:numPr>
          <w:ilvl w:val="0"/>
          <w:numId w:val="0"/>
        </w:numPr>
        <w:spacing w:line="360" w:lineRule="auto"/>
        <w:ind w:firstLine="210" w:firstLineChars="100"/>
        <w:jc w:val="left"/>
        <w:rPr>
          <w:rFonts w:ascii="微软雅黑" w:hAnsi="微软雅黑" w:eastAsia="微软雅黑" w:cs="微软雅黑"/>
          <w:b/>
          <w:bCs/>
          <w:szCs w:val="21"/>
        </w:rPr>
      </w:pPr>
      <w:r>
        <w:rPr>
          <w:rFonts w:hint="eastAsia" w:ascii="微软雅黑" w:hAnsi="微软雅黑" w:eastAsia="微软雅黑" w:cs="微软雅黑"/>
          <w:b/>
          <w:bCs/>
          <w:szCs w:val="21"/>
          <w:lang w:val="en-US" w:eastAsia="zh-CN"/>
        </w:rPr>
        <w:t>6) 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spacing w:line="360" w:lineRule="auto"/>
        <w:ind w:left="500" w:leftChars="238" w:firstLine="0" w:firstLineChars="0"/>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62"/>
        <w:gridCol w:w="3692"/>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60"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16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692"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208" w:type="dxa"/>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162"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692"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2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692" w:type="dxa"/>
            <w:vAlign w:val="center"/>
          </w:tcPr>
          <w:p>
            <w:pPr>
              <w:tabs>
                <w:tab w:val="left" w:pos="1317"/>
              </w:tabs>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&gt;AC80V/DC110V</w:t>
            </w:r>
            <w:r>
              <w:rPr>
                <w:rFonts w:hint="default" w:ascii="Times New Roman" w:hAnsi="Times New Roman" w:eastAsia="微软雅黑"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162"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&lt;AC20V/DC30V</w:t>
            </w:r>
            <w:r>
              <w:rPr>
                <w:rFonts w:hint="default" w:ascii="Times New Roman" w:hAnsi="Times New Roman" w:eastAsia="微软雅黑"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60"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162"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692" w:type="dxa"/>
            <w:vAlign w:val="center"/>
          </w:tcPr>
          <w:p>
            <w:pPr>
              <w:spacing w:line="360" w:lineRule="auto"/>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208"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spacing w:line="360" w:lineRule="auto"/>
        <w:ind w:firstLine="420" w:firstLineChars="0"/>
        <w:jc w:val="left"/>
        <w:rPr>
          <w:rFonts w:ascii="微软雅黑" w:hAnsi="微软雅黑" w:eastAsia="微软雅黑" w:cs="微软雅黑"/>
          <w:sz w:val="18"/>
          <w:szCs w:val="18"/>
        </w:rPr>
      </w:pPr>
      <w:bookmarkStart w:id="32" w:name="_Toc10690_WPSOffice_Level2"/>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When the out-of-tolerance alarm occurs, the red LED is always on. If the out-of-tolerance alarm is caused by overvoltage or undervoltage, the red LED will flash rapidly and continuously. In addition, when an out-of-tolerance alarm occurs, the out-of-tolerance alarm signal can be cleared through the ENA terminal.</w:t>
      </w:r>
    </w:p>
    <w:p>
      <w:pPr>
        <w:numPr>
          <w:ilvl w:val="0"/>
          <w:numId w:val="6"/>
        </w:numPr>
        <w:spacing w:line="360" w:lineRule="auto"/>
        <w:ind w:left="105" w:leftChars="50"/>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Control signal interface circuit</w:t>
      </w:r>
      <w:bookmarkEnd w:id="32"/>
    </w:p>
    <w:p>
      <w:pPr>
        <w:spacing w:line="360" w:lineRule="auto"/>
        <w:ind w:left="105" w:leftChars="50" w:firstLine="360" w:firstLineChars="200"/>
        <w:jc w:val="left"/>
        <w:rPr>
          <w:rFonts w:ascii="微软雅黑" w:hAnsi="微软雅黑" w:eastAsia="微软雅黑" w:cs="微软雅黑"/>
          <w:b w:val="0"/>
          <w:bCs w:val="0"/>
          <w:sz w:val="18"/>
          <w:szCs w:val="18"/>
        </w:rPr>
      </w:pPr>
      <w:r>
        <w:rPr>
          <w:rFonts w:hint="eastAsia" w:ascii="微软雅黑" w:hAnsi="微软雅黑" w:eastAsia="微软雅黑" w:cs="微软雅黑"/>
          <w:sz w:val="18"/>
          <w:szCs w:val="18"/>
          <w:lang w:val="en-US" w:eastAsia="zh-CN"/>
        </w:rPr>
        <w:t>The HS86 driver control signal end adopts a differential interface circuit, which is applicable to differential signals, single-ended common cathode and common anode interfaces. It has a built-in high-speed photocoupler and has strong anti-interference ability in harsh environments. The interface circuit diagram is shown in Figure 2.</w:t>
      </w:r>
    </w:p>
    <w:p>
      <w:pPr>
        <w:spacing w:line="360" w:lineRule="auto"/>
        <w:jc w:val="both"/>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3054350" cy="3260090"/>
            <wp:effectExtent l="0" t="0" r="12700" b="16510"/>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3260090"/>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287395"/>
            <wp:effectExtent l="0" t="0" r="12700" b="8255"/>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3287395"/>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eastAsia"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HS86 is a 5V-24V universal driver, so the signal control end does not need a series resistor!</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3" w:name="_Toc12369_WPSOffice_Level2"/>
      <w:r>
        <w:rPr>
          <w:rFonts w:hint="eastAsia" w:ascii="微软雅黑" w:hAnsi="微软雅黑" w:eastAsia="微软雅黑" w:cs="微软雅黑"/>
          <w:b/>
          <w:bCs/>
          <w:sz w:val="24"/>
        </w:rPr>
        <w:t>Control signal timing diagram</w:t>
      </w:r>
      <w:bookmarkEnd w:id="3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5019675" cy="2028825"/>
            <wp:effectExtent l="0" t="0" r="9525" b="952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028825"/>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b/>
          <w:bCs/>
          <w:sz w:val="18"/>
          <w:szCs w:val="18"/>
        </w:rPr>
      </w:pPr>
      <w:r>
        <w:rPr>
          <w:rFonts w:hint="eastAsia" w:ascii="微软雅黑" w:hAnsi="微软雅黑" w:eastAsia="微软雅黑" w:cs="微软雅黑"/>
          <w:b/>
          <w:bCs/>
          <w:sz w:val="18"/>
          <w:szCs w:val="18"/>
        </w:rPr>
        <w:t>Notes: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8"/>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4" w:name="_Toc23163_WPSOffice_Level2"/>
      <w:r>
        <w:rPr>
          <w:rFonts w:hint="eastAsia" w:ascii="微软雅黑" w:hAnsi="微软雅黑" w:eastAsia="微软雅黑" w:cs="微软雅黑"/>
          <w:b/>
          <w:bCs/>
          <w:sz w:val="24"/>
        </w:rPr>
        <w:t>Control signal mode setting</w:t>
      </w:r>
      <w:bookmarkEnd w:id="3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The rising edge or falling edge of the pulse can be set to trigger effectively through the PC software.</w:t>
      </w:r>
    </w:p>
    <w:p>
      <w:pPr>
        <w:numPr>
          <w:ilvl w:val="0"/>
          <w:numId w:val="6"/>
        </w:numPr>
        <w:spacing w:line="360" w:lineRule="auto"/>
        <w:ind w:left="105" w:leftChars="50"/>
        <w:jc w:val="left"/>
        <w:outlineLvl w:val="1"/>
        <w:rPr>
          <w:rFonts w:ascii="微软雅黑" w:hAnsi="微软雅黑" w:eastAsia="微软雅黑" w:cs="微软雅黑"/>
          <w:b/>
          <w:bCs/>
          <w:sz w:val="24"/>
        </w:rPr>
      </w:pPr>
      <w:bookmarkStart w:id="35" w:name="_Toc30698_WPSOffice_Level2"/>
      <w:r>
        <w:rPr>
          <w:rFonts w:hint="eastAsia" w:ascii="微软雅黑" w:hAnsi="微软雅黑" w:eastAsia="微软雅黑" w:cs="微软雅黑"/>
          <w:b/>
          <w:bCs/>
          <w:sz w:val="24"/>
        </w:rPr>
        <w:t>Wiring requirements</w:t>
      </w:r>
      <w:bookmarkEnd w:id="35"/>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9"/>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10"/>
        </w:numPr>
        <w:spacing w:line="360" w:lineRule="auto"/>
        <w:jc w:val="left"/>
        <w:outlineLvl w:val="0"/>
        <w:rPr>
          <w:rFonts w:ascii="微软雅黑" w:hAnsi="微软雅黑" w:eastAsia="微软雅黑" w:cs="微软雅黑"/>
          <w:b/>
          <w:bCs/>
          <w:sz w:val="28"/>
          <w:szCs w:val="28"/>
        </w:rPr>
      </w:pPr>
      <w:bookmarkStart w:id="36" w:name="_Toc9268_WPSOffice_Level1"/>
      <w:r>
        <w:rPr>
          <w:rFonts w:hint="eastAsia" w:ascii="微软雅黑" w:hAnsi="微软雅黑" w:eastAsia="微软雅黑" w:cs="微软雅黑"/>
          <w:b/>
          <w:bCs/>
          <w:sz w:val="28"/>
          <w:szCs w:val="28"/>
        </w:rPr>
        <w:t>DIP switch function setting</w:t>
      </w:r>
      <w:bookmarkEnd w:id="36"/>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HS86 driver uses a 10-bit DIP switch. SW1-SW4 is used for ALM, PEND output configuration settings, algorithm selection, maximum peak current settings, and direction selection; SW5-SW8 is used for subdivision settings; and SW9-SW10 is used for working mode selection. The detailed description is as follows:</w:t>
      </w:r>
    </w:p>
    <w:tbl>
      <w:tblPr>
        <w:tblStyle w:val="7"/>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Function settings</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c>
          <w:tcPr>
            <w:tcW w:w="181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Working mode settings</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Function settings</w:t>
      </w:r>
    </w:p>
    <w:p>
      <w:pPr>
        <w:numPr>
          <w:ilvl w:val="0"/>
          <w:numId w:val="12"/>
        </w:numPr>
        <w:spacing w:line="360" w:lineRule="auto"/>
        <w:jc w:val="left"/>
        <w:rPr>
          <w:rFonts w:ascii="微软雅黑" w:hAnsi="微软雅黑" w:eastAsia="微软雅黑" w:cs="微软雅黑"/>
          <w:b/>
          <w:bCs/>
          <w:szCs w:val="21"/>
        </w:rPr>
      </w:pPr>
      <w:r>
        <w:rPr>
          <w:rFonts w:hint="default" w:ascii="Times New Roman" w:hAnsi="Times New Roman" w:eastAsia="微软雅黑" w:cs="Times New Roman"/>
          <w:b/>
          <w:bCs/>
          <w:szCs w:val="21"/>
          <w:lang w:val="en-US" w:eastAsia="zh-CN"/>
        </w:rPr>
        <w:t>ALM, PEND</w:t>
      </w:r>
      <w:r>
        <w:rPr>
          <w:rFonts w:hint="eastAsia" w:ascii="微软雅黑" w:hAnsi="微软雅黑" w:eastAsia="微软雅黑" w:cs="微软雅黑"/>
          <w:b/>
          <w:bCs/>
          <w:szCs w:val="21"/>
          <w:lang w:val="en-US" w:eastAsia="zh-CN"/>
        </w:rPr>
        <w:t>Output Configuration Settings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SW1 sets the output signal resistance state of ALM and PEND. When SW1=off, it is normally open; when SW1=on, it is normally closed.</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Algorithm selection</w:t>
      </w:r>
    </w:p>
    <w:p>
      <w:pPr>
        <w:spacing w:line="360" w:lineRule="auto"/>
        <w:ind w:firstLine="360" w:firstLineChars="20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SW2 is used to select the control algorithm of the driver. When SW2=off, it is algorithm A; when SW2=on, it is algorithm B.</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Maximum current setting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SW3 sets the maximum output current of the driver. When SW3=off, it is a small current output, mainly suitable for 57 or 60 closed-loop motors; when SW3=on, it is a large current output, mainly suitable for 86 closed-loop motors.</w:t>
      </w:r>
    </w:p>
    <w:p>
      <w:pPr>
        <w:numPr>
          <w:ilvl w:val="0"/>
          <w:numId w:val="12"/>
        </w:num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lang w:eastAsia="zh-CN"/>
        </w:rPr>
        <w:t>Direction selection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SW4 sets the initial rotation direction of the motor. When SW4=off, it rotates in the forward direction; when SW4=on, it rotates in the reverse direction.</w:t>
      </w:r>
    </w:p>
    <w:p>
      <w:pPr>
        <w:numPr>
          <w:ilvl w:val="0"/>
          <w:numId w:val="11"/>
        </w:numPr>
        <w:spacing w:line="360" w:lineRule="auto"/>
        <w:jc w:val="left"/>
        <w:outlineLvl w:val="1"/>
        <w:rPr>
          <w:rFonts w:hint="eastAsia" w:ascii="微软雅黑" w:hAnsi="微软雅黑" w:eastAsia="微软雅黑" w:cs="微软雅黑"/>
          <w:b/>
          <w:bCs/>
          <w:sz w:val="24"/>
          <w:lang w:eastAsia="zh-CN"/>
        </w:rPr>
      </w:pPr>
      <w:bookmarkStart w:id="37" w:name="_Toc3544_WPSOffice_Level2"/>
      <w:r>
        <w:rPr>
          <w:rFonts w:hint="eastAsia" w:ascii="微软雅黑" w:hAnsi="微软雅黑" w:eastAsia="微软雅黑" w:cs="微软雅黑"/>
          <w:b/>
          <w:bCs/>
          <w:sz w:val="24"/>
          <w:lang w:eastAsia="zh-CN"/>
        </w:rPr>
        <w:t>Segment settings</w:t>
      </w:r>
      <w:bookmarkEnd w:id="37"/>
    </w:p>
    <w:tbl>
      <w:tblPr>
        <w:tblStyle w:val="7"/>
        <w:tblW w:w="7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1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25600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14" w:type="dxa"/>
            <w:vMerge w:val="continue"/>
          </w:tcPr>
          <w:p>
            <w:pPr>
              <w:spacing w:line="360" w:lineRule="auto"/>
              <w:jc w:val="center"/>
              <w:rPr>
                <w:rFonts w:ascii="微软雅黑" w:hAnsi="微软雅黑" w:eastAsia="微软雅黑" w:cs="微软雅黑"/>
                <w:sz w:val="18"/>
                <w:szCs w:val="18"/>
              </w:rPr>
            </w:pP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bookmarkStart w:id="42" w:name="_GoBack"/>
      <w:bookmarkEnd w:id="42"/>
      <w:r>
        <w:rPr>
          <w:rFonts w:hint="eastAsia" w:ascii="微软雅黑" w:hAnsi="微软雅黑" w:eastAsia="微软雅黑" w:cs="微软雅黑"/>
          <w:b/>
          <w:bCs/>
          <w:sz w:val="24"/>
          <w:lang w:eastAsia="zh-CN"/>
        </w:rPr>
        <w:t>Working mode settings</w:t>
      </w:r>
    </w:p>
    <w:tbl>
      <w:tblPr>
        <w:tblStyle w:val="7"/>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37"/>
        <w:gridCol w:w="2575"/>
        <w:gridCol w:w="3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SW9</w:t>
            </w:r>
          </w:p>
        </w:tc>
        <w:tc>
          <w:tcPr>
            <w:tcW w:w="1137"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SW10</w:t>
            </w:r>
          </w:p>
        </w:tc>
        <w:tc>
          <w:tcPr>
            <w:tcW w:w="2575"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Working mode selection</w:t>
            </w:r>
          </w:p>
        </w:tc>
        <w:tc>
          <w:tcPr>
            <w:tcW w:w="3292" w:type="dxa"/>
            <w:vAlign w:val="center"/>
          </w:tcPr>
          <w:p>
            <w:pPr>
              <w:jc w:val="center"/>
              <w:rPr>
                <w:rFonts w:hint="eastAsia"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Pulse+Direction</w:t>
            </w:r>
          </w:p>
        </w:tc>
        <w:tc>
          <w:tcPr>
            <w:tcW w:w="3292" w:type="dxa"/>
            <w:vMerge w:val="restart"/>
            <w:vAlign w:val="center"/>
          </w:tcPr>
          <w:p>
            <w:pPr>
              <w:jc w:val="left"/>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When SW9 and SW10 are both off, users can use the PC software</w:t>
            </w:r>
            <w:r>
              <w:rPr>
                <w:rFonts w:hint="eastAsia" w:ascii="微软雅黑" w:hAnsi="微软雅黑" w:eastAsia="微软雅黑" w:cs="微软雅黑"/>
                <w:sz w:val="18"/>
                <w:szCs w:val="18"/>
                <w:lang w:eastAsia="zh-CN"/>
              </w:rPr>
              <w:t>Set the working mode yourself.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Pulse + direction with smoothing</w:t>
            </w:r>
          </w:p>
        </w:tc>
        <w:tc>
          <w:tcPr>
            <w:tcW w:w="329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off</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Double Pulse</w:t>
            </w:r>
          </w:p>
        </w:tc>
        <w:tc>
          <w:tcPr>
            <w:tcW w:w="3292" w:type="dxa"/>
            <w:vMerge w:val="continue"/>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1137" w:type="dxa"/>
            <w:vAlign w:val="center"/>
          </w:tcPr>
          <w:p>
            <w:pPr>
              <w:jc w:val="cente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on</w:t>
            </w:r>
          </w:p>
        </w:tc>
        <w:tc>
          <w:tcPr>
            <w:tcW w:w="2575" w:type="dxa"/>
            <w:vAlign w:val="center"/>
          </w:tcPr>
          <w:p>
            <w:p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Spontaneous pulses</w:t>
            </w:r>
          </w:p>
        </w:tc>
        <w:tc>
          <w:tcPr>
            <w:tcW w:w="3292" w:type="dxa"/>
            <w:vMerge w:val="continue"/>
          </w:tcPr>
          <w:p>
            <w:pPr>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outlineLvl w:val="1"/>
        <w:rPr>
          <w:rFonts w:hint="eastAsia" w:ascii="微软雅黑" w:hAnsi="微软雅黑" w:eastAsia="微软雅黑" w:cs="微软雅黑"/>
          <w:b/>
          <w:bCs/>
          <w:sz w:val="18"/>
          <w:szCs w:val="18"/>
          <w:lang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After modification, power must be restarted for it to take effect.</w:t>
      </w:r>
    </w:p>
    <w:p>
      <w:pPr>
        <w:numPr>
          <w:ilvl w:val="0"/>
          <w:numId w:val="10"/>
        </w:numPr>
        <w:spacing w:line="360" w:lineRule="auto"/>
        <w:jc w:val="left"/>
        <w:outlineLvl w:val="0"/>
        <w:rPr>
          <w:rFonts w:ascii="微软雅黑" w:hAnsi="微软雅黑" w:eastAsia="微软雅黑" w:cs="微软雅黑"/>
          <w:b/>
          <w:bCs/>
          <w:sz w:val="28"/>
          <w:szCs w:val="28"/>
        </w:rPr>
      </w:pPr>
      <w:bookmarkStart w:id="38" w:name="_Toc25986_WPSOffice_Level1"/>
      <w:r>
        <w:rPr>
          <w:rFonts w:hint="eastAsia" w:ascii="微软雅黑" w:hAnsi="微软雅黑" w:eastAsia="微软雅黑" w:cs="微软雅黑"/>
          <w:b/>
          <w:bCs/>
          <w:sz w:val="28"/>
          <w:szCs w:val="28"/>
        </w:rPr>
        <w:t>Power supply selection</w:t>
      </w:r>
      <w:bookmarkEnd w:id="38"/>
    </w:p>
    <w:p>
      <w:pPr>
        <w:spacing w:line="360" w:lineRule="auto"/>
        <w:ind w:firstLine="360" w:firstLineChars="200"/>
        <w:jc w:val="left"/>
        <w:rPr>
          <w:rFonts w:ascii="微软雅黑" w:hAnsi="微软雅黑" w:eastAsia="微软雅黑" w:cs="微软雅黑"/>
          <w:sz w:val="18"/>
          <w:szCs w:val="18"/>
        </w:rPr>
      </w:pPr>
      <w:bookmarkStart w:id="39" w:name="_Toc28989_WPSOffice_Level1"/>
      <w:r>
        <w:rPr>
          <w:rFonts w:hint="eastAsia" w:ascii="微软雅黑" w:hAnsi="微软雅黑" w:eastAsia="微软雅黑" w:cs="微软雅黑"/>
          <w:sz w:val="18"/>
          <w:szCs w:val="18"/>
        </w:rPr>
        <w:t>The power supply voltage can work normally within the specified range. The HS86 driver can be powered by a transformer. It is recommended that the AC output voltage of the transformer does not exceed its specified maximum voltage. The HS86 driver can also be powered by an unregulated DC power supply, but it should be noted that the peak value of the rectified voltage ripple should not exceed its specified maximum voltage. It is recommended that users use a DC voltage lower than the maximum voltage to avoid grid fluctuations exceeding the driver's operating voltage range.</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3"/>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10"/>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Protection function</w:t>
      </w:r>
      <w:bookmarkEnd w:id="39"/>
    </w:p>
    <w:p>
      <w:pPr>
        <w:numPr>
          <w:ilvl w:val="0"/>
          <w:numId w:val="14"/>
        </w:numPr>
        <w:spacing w:line="360" w:lineRule="auto"/>
        <w:jc w:val="left"/>
        <w:outlineLvl w:val="1"/>
        <w:rPr>
          <w:rFonts w:ascii="微软雅黑" w:hAnsi="微软雅黑" w:eastAsia="微软雅黑" w:cs="微软雅黑"/>
          <w:b/>
          <w:bCs/>
          <w:sz w:val="24"/>
        </w:rPr>
      </w:pPr>
      <w:bookmarkStart w:id="40" w:name="_Toc20685_WPSOffice_Level2"/>
      <w:r>
        <w:rPr>
          <w:rFonts w:hint="eastAsia" w:ascii="微软雅黑" w:hAnsi="微软雅黑" w:eastAsia="微软雅黑" w:cs="微软雅黑"/>
          <w:b/>
          <w:bCs/>
          <w:sz w:val="24"/>
        </w:rPr>
        <w:t>Short circuit protection</w:t>
      </w:r>
      <w:bookmarkEnd w:id="4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4"/>
        </w:numPr>
        <w:outlineLvl w:val="1"/>
        <w:rPr>
          <w:rFonts w:hint="eastAsia" w:ascii="微软雅黑" w:hAnsi="微软雅黑" w:eastAsia="微软雅黑" w:cs="微软雅黑"/>
          <w:b/>
          <w:bCs/>
          <w:i w:val="0"/>
          <w:iCs w:val="0"/>
          <w:sz w:val="24"/>
          <w:szCs w:val="24"/>
        </w:rPr>
      </w:pPr>
      <w:bookmarkStart w:id="41" w:name="_Toc15522_WPSOffice_Level2"/>
      <w:r>
        <w:rPr>
          <w:rFonts w:hint="eastAsia" w:ascii="微软雅黑" w:hAnsi="微软雅黑" w:eastAsia="微软雅黑" w:cs="微软雅黑"/>
          <w:b/>
          <w:bCs/>
          <w:i w:val="0"/>
          <w:iCs w:val="0"/>
          <w:sz w:val="24"/>
          <w:szCs w:val="24"/>
        </w:rPr>
        <w:t>Overvoltage protection</w:t>
      </w:r>
      <w:bookmarkEnd w:id="4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AC80V, the red light of the driver flashes twice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AC20V, the red light of the driver flashes 3 times and flashes repeatedly in a cycle of 3 seconds. At this time, the fault must be eliminated and the power must be turned on again for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b/>
          <w:bCs/>
          <w:i w:val="0"/>
          <w:iCs w:val="0"/>
          <w:sz w:val="24"/>
          <w:szCs w:val="24"/>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p>
      <w:pPr>
        <w:pStyle w:val="4"/>
        <w:numPr>
          <w:ilvl w:val="0"/>
          <w:numId w:val="14"/>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Out-of-tolerance alarm signal</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When an out-of-tolerance alarm occurs, the red light of the driver will remain on or flash rapidly. At this time, the alarm can be cleared through the ENA terminal or reset by powering on again.</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HS86 Digital Hybrid Step Servo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2C4FEBB"/>
    <w:multiLevelType w:val="singleLevel"/>
    <w:tmpl w:val="92C4FEBB"/>
    <w:lvl w:ilvl="0" w:tentative="0">
      <w:start w:val="3"/>
      <w:numFmt w:val="decimal"/>
      <w:suff w:val="space"/>
      <w:lvlText w:val="%1."/>
      <w:lvlJc w:val="left"/>
    </w:lvl>
  </w:abstractNum>
  <w:abstractNum w:abstractNumId="4">
    <w:nsid w:val="995E7FA3"/>
    <w:multiLevelType w:val="singleLevel"/>
    <w:tmpl w:val="995E7FA3"/>
    <w:lvl w:ilvl="0" w:tentative="0">
      <w:start w:val="1"/>
      <w:numFmt w:val="chineseCounting"/>
      <w:suff w:val="nothing"/>
      <w:lvlText w:val="%1、"/>
      <w:lvlJc w:val="left"/>
      <w:rPr>
        <w:rFonts w:hint="eastAsia"/>
      </w:rPr>
    </w:lvl>
  </w:abstractNum>
  <w:abstractNum w:abstractNumId="5">
    <w:nsid w:val="A329F92A"/>
    <w:multiLevelType w:val="singleLevel"/>
    <w:tmpl w:val="A329F92A"/>
    <w:lvl w:ilvl="0" w:tentative="0">
      <w:start w:val="1"/>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796C351"/>
    <w:multiLevelType w:val="singleLevel"/>
    <w:tmpl w:val="0796C351"/>
    <w:lvl w:ilvl="0" w:tentative="0">
      <w:start w:val="1"/>
      <w:numFmt w:val="decimal"/>
      <w:suff w:val="nothing"/>
      <w:lvlText w:val="%1）"/>
      <w:lvlJc w:val="left"/>
    </w:lvl>
  </w:abstractNum>
  <w:abstractNum w:abstractNumId="9">
    <w:nsid w:val="0C39F82F"/>
    <w:multiLevelType w:val="singleLevel"/>
    <w:tmpl w:val="0C39F82F"/>
    <w:lvl w:ilvl="0" w:tentative="0">
      <w:start w:val="1"/>
      <w:numFmt w:val="decimal"/>
      <w:lvlText w:val="%1."/>
      <w:lvlJc w:val="left"/>
      <w:pPr>
        <w:tabs>
          <w:tab w:val="left" w:pos="312"/>
        </w:tabs>
      </w:pPr>
    </w:lvl>
  </w:abstractNum>
  <w:abstractNum w:abstractNumId="10">
    <w:nsid w:val="1DF1D425"/>
    <w:multiLevelType w:val="singleLevel"/>
    <w:tmpl w:val="1DF1D425"/>
    <w:lvl w:ilvl="0" w:tentative="0">
      <w:start w:val="1"/>
      <w:numFmt w:val="decimal"/>
      <w:suff w:val="nothing"/>
      <w:lvlText w:val="%1）"/>
      <w:lvlJc w:val="left"/>
    </w:lvl>
  </w:abstractNum>
  <w:abstractNum w:abstractNumId="11">
    <w:nsid w:val="2EBC12BB"/>
    <w:multiLevelType w:val="singleLevel"/>
    <w:tmpl w:val="2EBC12BB"/>
    <w:lvl w:ilvl="0" w:tentative="0">
      <w:start w:val="1"/>
      <w:numFmt w:val="decimal"/>
      <w:lvlText w:val="%1."/>
      <w:lvlJc w:val="left"/>
      <w:pPr>
        <w:tabs>
          <w:tab w:val="left" w:pos="312"/>
        </w:tabs>
      </w:pPr>
    </w:lvl>
  </w:abstractNum>
  <w:abstractNum w:abstractNumId="12">
    <w:nsid w:val="49BF6955"/>
    <w:multiLevelType w:val="singleLevel"/>
    <w:tmpl w:val="49BF6955"/>
    <w:lvl w:ilvl="0" w:tentative="0">
      <w:start w:val="1"/>
      <w:numFmt w:val="decimal"/>
      <w:suff w:val="nothing"/>
      <w:lvlText w:val="%1）"/>
      <w:lvlJc w:val="left"/>
    </w:lvl>
  </w:abstractNum>
  <w:abstractNum w:abstractNumId="13">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4"/>
  </w:num>
  <w:num w:numId="3">
    <w:abstractNumId w:val="11"/>
  </w:num>
  <w:num w:numId="4">
    <w:abstractNumId w:val="2"/>
  </w:num>
  <w:num w:numId="5">
    <w:abstractNumId w:val="0"/>
  </w:num>
  <w:num w:numId="6">
    <w:abstractNumId w:val="9"/>
  </w:num>
  <w:num w:numId="7">
    <w:abstractNumId w:val="13"/>
  </w:num>
  <w:num w:numId="8">
    <w:abstractNumId w:val="12"/>
  </w:num>
  <w:num w:numId="9">
    <w:abstractNumId w:val="10"/>
  </w:num>
  <w:num w:numId="10">
    <w:abstractNumId w:val="7"/>
  </w:num>
  <w:num w:numId="11">
    <w:abstractNumId w:val="5"/>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FF26F4"/>
    <w:rsid w:val="01166072"/>
    <w:rsid w:val="016075F7"/>
    <w:rsid w:val="022E027F"/>
    <w:rsid w:val="024E444B"/>
    <w:rsid w:val="026C7530"/>
    <w:rsid w:val="02D46311"/>
    <w:rsid w:val="03B3128C"/>
    <w:rsid w:val="03B64BFF"/>
    <w:rsid w:val="03D65101"/>
    <w:rsid w:val="040D4F60"/>
    <w:rsid w:val="0423712E"/>
    <w:rsid w:val="043F7BBD"/>
    <w:rsid w:val="057061EA"/>
    <w:rsid w:val="07D944D2"/>
    <w:rsid w:val="07E05125"/>
    <w:rsid w:val="08224B57"/>
    <w:rsid w:val="08323D96"/>
    <w:rsid w:val="090A360A"/>
    <w:rsid w:val="094C2972"/>
    <w:rsid w:val="0A09616F"/>
    <w:rsid w:val="0A5D2BF1"/>
    <w:rsid w:val="0AF03078"/>
    <w:rsid w:val="0B8966B9"/>
    <w:rsid w:val="0BC772B9"/>
    <w:rsid w:val="0C4176E6"/>
    <w:rsid w:val="0C505BC9"/>
    <w:rsid w:val="0D657C70"/>
    <w:rsid w:val="0E4B311A"/>
    <w:rsid w:val="0E6938B0"/>
    <w:rsid w:val="0F7F711A"/>
    <w:rsid w:val="0FC7273D"/>
    <w:rsid w:val="0FD7644E"/>
    <w:rsid w:val="12E723E3"/>
    <w:rsid w:val="12EC1659"/>
    <w:rsid w:val="13087A72"/>
    <w:rsid w:val="136876CA"/>
    <w:rsid w:val="14760B17"/>
    <w:rsid w:val="14F91774"/>
    <w:rsid w:val="154C1A67"/>
    <w:rsid w:val="15534962"/>
    <w:rsid w:val="15906837"/>
    <w:rsid w:val="15EA6DDC"/>
    <w:rsid w:val="17B711F6"/>
    <w:rsid w:val="17F23324"/>
    <w:rsid w:val="18CE4743"/>
    <w:rsid w:val="18FA57A6"/>
    <w:rsid w:val="19E71785"/>
    <w:rsid w:val="1A3578AB"/>
    <w:rsid w:val="1A6F16F9"/>
    <w:rsid w:val="1ABA34B1"/>
    <w:rsid w:val="1B070BAF"/>
    <w:rsid w:val="1B077B9A"/>
    <w:rsid w:val="1B881E53"/>
    <w:rsid w:val="1C221CE9"/>
    <w:rsid w:val="1C2C4754"/>
    <w:rsid w:val="1C873FFE"/>
    <w:rsid w:val="1E6A4918"/>
    <w:rsid w:val="1E9E5DD9"/>
    <w:rsid w:val="1EFF273F"/>
    <w:rsid w:val="1FA33251"/>
    <w:rsid w:val="1FBF0A42"/>
    <w:rsid w:val="1FEA7CD7"/>
    <w:rsid w:val="1FF42C65"/>
    <w:rsid w:val="205765BD"/>
    <w:rsid w:val="21210377"/>
    <w:rsid w:val="212B798D"/>
    <w:rsid w:val="220C1A25"/>
    <w:rsid w:val="22605BD5"/>
    <w:rsid w:val="23352742"/>
    <w:rsid w:val="2369509F"/>
    <w:rsid w:val="23746B52"/>
    <w:rsid w:val="23D92C3D"/>
    <w:rsid w:val="24083166"/>
    <w:rsid w:val="244D0C0D"/>
    <w:rsid w:val="260D1904"/>
    <w:rsid w:val="26265A6B"/>
    <w:rsid w:val="26267BBE"/>
    <w:rsid w:val="269B69A9"/>
    <w:rsid w:val="26E5451C"/>
    <w:rsid w:val="282A7DE1"/>
    <w:rsid w:val="28583EE1"/>
    <w:rsid w:val="29682341"/>
    <w:rsid w:val="29850EAE"/>
    <w:rsid w:val="29C95921"/>
    <w:rsid w:val="2A070884"/>
    <w:rsid w:val="2AD661A1"/>
    <w:rsid w:val="2B49288B"/>
    <w:rsid w:val="2C455599"/>
    <w:rsid w:val="2C9024FD"/>
    <w:rsid w:val="2CEB36BD"/>
    <w:rsid w:val="2D546B1F"/>
    <w:rsid w:val="2D631468"/>
    <w:rsid w:val="2D9F267E"/>
    <w:rsid w:val="2DA137B3"/>
    <w:rsid w:val="2E480081"/>
    <w:rsid w:val="2F286AB1"/>
    <w:rsid w:val="2F505133"/>
    <w:rsid w:val="2F671187"/>
    <w:rsid w:val="2F761AB5"/>
    <w:rsid w:val="2FDF3A19"/>
    <w:rsid w:val="3154180B"/>
    <w:rsid w:val="32B91FA4"/>
    <w:rsid w:val="32E83101"/>
    <w:rsid w:val="32EA287E"/>
    <w:rsid w:val="33406B51"/>
    <w:rsid w:val="3366351A"/>
    <w:rsid w:val="338B375B"/>
    <w:rsid w:val="33F34D1D"/>
    <w:rsid w:val="348D2076"/>
    <w:rsid w:val="35B84674"/>
    <w:rsid w:val="35E00299"/>
    <w:rsid w:val="35FB77A9"/>
    <w:rsid w:val="36DF4823"/>
    <w:rsid w:val="37FF61C0"/>
    <w:rsid w:val="38927E20"/>
    <w:rsid w:val="39B64BE3"/>
    <w:rsid w:val="3A7E722A"/>
    <w:rsid w:val="3ACA0A79"/>
    <w:rsid w:val="3B1057BF"/>
    <w:rsid w:val="3B6D2FA6"/>
    <w:rsid w:val="3D1B2B4F"/>
    <w:rsid w:val="3D254B32"/>
    <w:rsid w:val="3D814925"/>
    <w:rsid w:val="3DB8273C"/>
    <w:rsid w:val="3E2D0A5F"/>
    <w:rsid w:val="3E48642C"/>
    <w:rsid w:val="3F782E63"/>
    <w:rsid w:val="3F7D6C1D"/>
    <w:rsid w:val="3FD94A37"/>
    <w:rsid w:val="40911EE3"/>
    <w:rsid w:val="40E26D93"/>
    <w:rsid w:val="41140BC8"/>
    <w:rsid w:val="42122C99"/>
    <w:rsid w:val="425B4A3E"/>
    <w:rsid w:val="43926F31"/>
    <w:rsid w:val="43A53FF5"/>
    <w:rsid w:val="43CB168D"/>
    <w:rsid w:val="43F123DA"/>
    <w:rsid w:val="43F2769A"/>
    <w:rsid w:val="43F8110E"/>
    <w:rsid w:val="441C2B92"/>
    <w:rsid w:val="44B42992"/>
    <w:rsid w:val="45C30523"/>
    <w:rsid w:val="460810E1"/>
    <w:rsid w:val="46E26EC9"/>
    <w:rsid w:val="47632D17"/>
    <w:rsid w:val="47882F07"/>
    <w:rsid w:val="48030004"/>
    <w:rsid w:val="480561EF"/>
    <w:rsid w:val="48510FEF"/>
    <w:rsid w:val="48917993"/>
    <w:rsid w:val="48A815E4"/>
    <w:rsid w:val="493C518B"/>
    <w:rsid w:val="4B05560A"/>
    <w:rsid w:val="4B1E2E0F"/>
    <w:rsid w:val="4B86304D"/>
    <w:rsid w:val="4B8B0709"/>
    <w:rsid w:val="4C344439"/>
    <w:rsid w:val="4C5E79A5"/>
    <w:rsid w:val="4E40285F"/>
    <w:rsid w:val="4E47689E"/>
    <w:rsid w:val="4F443DEB"/>
    <w:rsid w:val="4F5365D5"/>
    <w:rsid w:val="4FDE68BC"/>
    <w:rsid w:val="4FFE310E"/>
    <w:rsid w:val="52306DE1"/>
    <w:rsid w:val="52347230"/>
    <w:rsid w:val="530F2C11"/>
    <w:rsid w:val="539947FC"/>
    <w:rsid w:val="53A243DD"/>
    <w:rsid w:val="53D66A7A"/>
    <w:rsid w:val="53E66B12"/>
    <w:rsid w:val="543215CD"/>
    <w:rsid w:val="54F61E2B"/>
    <w:rsid w:val="572A5575"/>
    <w:rsid w:val="578F332D"/>
    <w:rsid w:val="58571567"/>
    <w:rsid w:val="59D033D4"/>
    <w:rsid w:val="59E1255E"/>
    <w:rsid w:val="59F22309"/>
    <w:rsid w:val="5ABA6A37"/>
    <w:rsid w:val="5B345470"/>
    <w:rsid w:val="5BAC4672"/>
    <w:rsid w:val="5BC5146F"/>
    <w:rsid w:val="5BEA1FF4"/>
    <w:rsid w:val="5C165CD4"/>
    <w:rsid w:val="5C2477D7"/>
    <w:rsid w:val="5CA34B44"/>
    <w:rsid w:val="5D0376BF"/>
    <w:rsid w:val="5D6A7758"/>
    <w:rsid w:val="5DFA614F"/>
    <w:rsid w:val="5E8D5293"/>
    <w:rsid w:val="5F09549E"/>
    <w:rsid w:val="5F311774"/>
    <w:rsid w:val="5F6E0395"/>
    <w:rsid w:val="5FFD0C46"/>
    <w:rsid w:val="61164EC7"/>
    <w:rsid w:val="61AA7B04"/>
    <w:rsid w:val="62311B1C"/>
    <w:rsid w:val="62334026"/>
    <w:rsid w:val="62413B5D"/>
    <w:rsid w:val="637F2C3F"/>
    <w:rsid w:val="63C04060"/>
    <w:rsid w:val="63DA095C"/>
    <w:rsid w:val="63DF0D8E"/>
    <w:rsid w:val="645E6D04"/>
    <w:rsid w:val="64AD6D92"/>
    <w:rsid w:val="66281DC8"/>
    <w:rsid w:val="663B6169"/>
    <w:rsid w:val="666D3B8B"/>
    <w:rsid w:val="66B3026D"/>
    <w:rsid w:val="67787FD4"/>
    <w:rsid w:val="67A12195"/>
    <w:rsid w:val="67CD511C"/>
    <w:rsid w:val="67F3397D"/>
    <w:rsid w:val="67F7058E"/>
    <w:rsid w:val="6871307C"/>
    <w:rsid w:val="687617BD"/>
    <w:rsid w:val="68885C8C"/>
    <w:rsid w:val="68BC35D6"/>
    <w:rsid w:val="68E41DC8"/>
    <w:rsid w:val="69036D6D"/>
    <w:rsid w:val="69E203AF"/>
    <w:rsid w:val="6A1E307E"/>
    <w:rsid w:val="6B464BA6"/>
    <w:rsid w:val="6BF00AFD"/>
    <w:rsid w:val="6C951A00"/>
    <w:rsid w:val="6D38566E"/>
    <w:rsid w:val="6D8F7D0E"/>
    <w:rsid w:val="6E270D0A"/>
    <w:rsid w:val="6E392719"/>
    <w:rsid w:val="6E6D3716"/>
    <w:rsid w:val="6EAE2547"/>
    <w:rsid w:val="6EAF5ECE"/>
    <w:rsid w:val="6EB72135"/>
    <w:rsid w:val="6ED30A4E"/>
    <w:rsid w:val="6F4552C5"/>
    <w:rsid w:val="6FC26DD3"/>
    <w:rsid w:val="6FEF2B39"/>
    <w:rsid w:val="706B5927"/>
    <w:rsid w:val="708E7144"/>
    <w:rsid w:val="70974DEA"/>
    <w:rsid w:val="70E54314"/>
    <w:rsid w:val="712E57C8"/>
    <w:rsid w:val="72373462"/>
    <w:rsid w:val="73324FC4"/>
    <w:rsid w:val="73361538"/>
    <w:rsid w:val="748B693F"/>
    <w:rsid w:val="74DF3DC6"/>
    <w:rsid w:val="752A6BA8"/>
    <w:rsid w:val="755E148F"/>
    <w:rsid w:val="773E5EA8"/>
    <w:rsid w:val="7741603C"/>
    <w:rsid w:val="776B35EA"/>
    <w:rsid w:val="77E52DAC"/>
    <w:rsid w:val="78304396"/>
    <w:rsid w:val="7896344A"/>
    <w:rsid w:val="78A820FE"/>
    <w:rsid w:val="79803217"/>
    <w:rsid w:val="79EE05E0"/>
    <w:rsid w:val="7A473776"/>
    <w:rsid w:val="7AA41EB8"/>
    <w:rsid w:val="7B2E29A5"/>
    <w:rsid w:val="7C9267BB"/>
    <w:rsid w:val="7D1F4FB6"/>
    <w:rsid w:val="7D653A96"/>
    <w:rsid w:val="7DE52FCB"/>
    <w:rsid w:val="7E4A7B39"/>
    <w:rsid w:val="7F90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7</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